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3C251F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192B23">
        <w:rPr>
          <w:bCs/>
          <w:noProof w:val="0"/>
          <w:sz w:val="24"/>
          <w:szCs w:val="24"/>
        </w:rPr>
        <w:t>5239</w:t>
      </w:r>
    </w:p>
    <w:p w14:paraId="11776FA6" w14:textId="3D72961D" w:rsidR="00A209D6" w:rsidRPr="00465587" w:rsidRDefault="006E1057" w:rsidP="00A209D6">
      <w:pPr>
        <w:pStyle w:val="Header"/>
        <w:tabs>
          <w:tab w:val="right" w:pos="9639"/>
        </w:tabs>
        <w:rPr>
          <w:rFonts w:eastAsia="SimSun"/>
          <w:bCs/>
          <w:sz w:val="24"/>
          <w:szCs w:val="24"/>
          <w:lang w:eastAsia="zh-CN"/>
        </w:rPr>
      </w:pPr>
      <w:r w:rsidRPr="006E1057">
        <w:rPr>
          <w:rFonts w:eastAsia="SimSun"/>
          <w:bCs/>
          <w:sz w:val="24"/>
          <w:szCs w:val="24"/>
          <w:lang w:eastAsia="zh-CN"/>
        </w:rPr>
        <w:t>1</w:t>
      </w:r>
      <w:r w:rsidR="00065268">
        <w:rPr>
          <w:rFonts w:eastAsia="SimSun"/>
          <w:bCs/>
          <w:sz w:val="24"/>
          <w:szCs w:val="24"/>
          <w:lang w:eastAsia="zh-CN"/>
        </w:rPr>
        <w:t>9</w:t>
      </w:r>
      <w:r w:rsidRPr="006E1057">
        <w:rPr>
          <w:rFonts w:eastAsia="SimSun"/>
          <w:bCs/>
          <w:sz w:val="24"/>
          <w:szCs w:val="24"/>
          <w:lang w:eastAsia="zh-CN"/>
        </w:rPr>
        <w:t xml:space="preserve"> – 2</w:t>
      </w:r>
      <w:r w:rsidR="00065268">
        <w:rPr>
          <w:rFonts w:eastAsia="SimSun"/>
          <w:bCs/>
          <w:sz w:val="24"/>
          <w:szCs w:val="24"/>
          <w:lang w:eastAsia="zh-CN"/>
        </w:rPr>
        <w:t>7</w:t>
      </w:r>
      <w:r w:rsidRPr="006E1057">
        <w:rPr>
          <w:rFonts w:eastAsia="SimSun"/>
          <w:bCs/>
          <w:sz w:val="24"/>
          <w:szCs w:val="24"/>
          <w:lang w:eastAsia="zh-CN"/>
        </w:rPr>
        <w:t xml:space="preserve"> </w:t>
      </w:r>
      <w:r w:rsidR="00065268">
        <w:rPr>
          <w:rFonts w:eastAsia="SimSun"/>
          <w:bCs/>
          <w:sz w:val="24"/>
          <w:szCs w:val="24"/>
          <w:lang w:eastAsia="zh-CN"/>
        </w:rPr>
        <w:t>May</w:t>
      </w:r>
      <w:r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417551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40FB">
        <w:rPr>
          <w:rFonts w:cs="Arial"/>
          <w:b/>
          <w:bCs/>
          <w:sz w:val="24"/>
          <w:lang w:eastAsia="ja-JP"/>
        </w:rPr>
        <w:t>8.8.1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90602E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40FB">
        <w:rPr>
          <w:rFonts w:ascii="Arial" w:hAnsi="Arial" w:cs="Arial"/>
          <w:b/>
          <w:bCs/>
          <w:sz w:val="24"/>
        </w:rPr>
        <w:t>Discussion on Uplink SMBR enforcement</w:t>
      </w:r>
    </w:p>
    <w:p w14:paraId="1F147C23" w14:textId="4411B42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7BC0" w:rsidRPr="0010761D">
        <w:rPr>
          <w:rFonts w:ascii="Arial" w:hAnsi="Arial" w:cs="Arial"/>
          <w:b/>
          <w:bCs/>
          <w:sz w:val="24"/>
        </w:rPr>
        <w:t xml:space="preserve">NR_Slice </w:t>
      </w:r>
      <w:r>
        <w:rPr>
          <w:rFonts w:ascii="Arial" w:hAnsi="Arial" w:cs="Arial"/>
          <w:b/>
          <w:bCs/>
          <w:sz w:val="24"/>
        </w:rPr>
        <w:t xml:space="preserve">- Release </w:t>
      </w:r>
      <w:r w:rsidR="00F036E9">
        <w:rPr>
          <w:rFonts w:ascii="Arial" w:hAnsi="Arial" w:cs="Arial"/>
          <w:b/>
          <w:bCs/>
          <w:sz w:val="24"/>
        </w:rPr>
        <w:t>XX</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B1C76C" w14:textId="25E34D1F" w:rsidR="00C240FB" w:rsidRDefault="00C240FB" w:rsidP="00C240FB">
      <w:r>
        <w:t xml:space="preserve">In the Reply LS on restricting the rate per UE per network slice (R2-2102009) RAN2 replied the following to SA2: </w:t>
      </w:r>
    </w:p>
    <w:p w14:paraId="5B3C4A1B" w14:textId="77777777" w:rsidR="00C240FB" w:rsidRPr="00C240FB" w:rsidRDefault="00C240FB" w:rsidP="00C240FB">
      <w:pPr>
        <w:ind w:left="284"/>
        <w:rPr>
          <w:i/>
          <w:iCs/>
        </w:rPr>
      </w:pPr>
      <w:r w:rsidRPr="00C240FB">
        <w:rPr>
          <w:i/>
          <w:iCs/>
        </w:rPr>
        <w:t xml:space="preserve">“RAN2's view is that SMBR enforcement can be provided by configuring different resources per slice. A solution for support of the UL SMBR without different resources will require further study in RAN2.” </w:t>
      </w:r>
    </w:p>
    <w:p w14:paraId="668414D6" w14:textId="727C813F" w:rsidR="000E24BE" w:rsidRDefault="00C240FB" w:rsidP="00C240FB">
      <w:r>
        <w:t>SA2 concluded that the solution using SMBR enforcement will be captured as such in normative specifications. This paper further discusses the uplink SMBR enforcement options that can be provided by RAN.</w:t>
      </w:r>
    </w:p>
    <w:p w14:paraId="4F547731" w14:textId="3A3139F6" w:rsidR="00A209D6" w:rsidRPr="006E13D1" w:rsidRDefault="00A209D6" w:rsidP="00B7538C">
      <w:pPr>
        <w:pStyle w:val="Heading1"/>
      </w:pPr>
      <w:r w:rsidRPr="006E13D1">
        <w:t>2</w:t>
      </w:r>
      <w:r w:rsidRPr="006E13D1">
        <w:tab/>
      </w:r>
      <w:r w:rsidR="000E24BE">
        <w:t>Discussion</w:t>
      </w:r>
    </w:p>
    <w:p w14:paraId="6F76D5D1" w14:textId="6F4761A1" w:rsidR="00C240FB" w:rsidRDefault="00C240FB" w:rsidP="000E24BE">
      <w:pPr>
        <w:rPr>
          <w:lang w:val="en-US"/>
        </w:rPr>
      </w:pPr>
      <w:r>
        <w:t xml:space="preserve">During the previous discussion on </w:t>
      </w:r>
      <w:r w:rsidR="00515070">
        <w:t xml:space="preserve">uplink </w:t>
      </w:r>
      <w:r>
        <w:t>SMBR enforcement m</w:t>
      </w:r>
      <w:r w:rsidR="000E24BE">
        <w:t xml:space="preserve">ost of the companies agreed that </w:t>
      </w:r>
      <w:r w:rsidR="000E24BE">
        <w:rPr>
          <w:lang w:val="en-US"/>
        </w:rPr>
        <w:t>with proper configuration (LCG and LCH restrictions), the RAN is able to obtain and control the UL data volume of a slice</w:t>
      </w:r>
      <w:r>
        <w:rPr>
          <w:lang w:val="en-US"/>
        </w:rPr>
        <w:t>. On the other hand</w:t>
      </w:r>
      <w:r w:rsidR="00515070">
        <w:rPr>
          <w:lang w:val="en-US"/>
        </w:rPr>
        <w:t>,</w:t>
      </w:r>
      <w:r>
        <w:rPr>
          <w:lang w:val="en-US"/>
        </w:rPr>
        <w:t xml:space="preserve"> some companies had concerns that th</w:t>
      </w:r>
      <w:r w:rsidR="00515070">
        <w:rPr>
          <w:lang w:val="en-US"/>
        </w:rPr>
        <w:t>ese</w:t>
      </w:r>
      <w:r>
        <w:rPr>
          <w:lang w:val="en-US"/>
        </w:rPr>
        <w:t xml:space="preserve"> solutions have limitations. </w:t>
      </w:r>
    </w:p>
    <w:p w14:paraId="3581B1CB" w14:textId="3FBAFBED" w:rsidR="00C240FB" w:rsidRDefault="00C240FB" w:rsidP="000E24BE">
      <w:pPr>
        <w:rPr>
          <w:lang w:val="en-US"/>
        </w:rPr>
      </w:pPr>
      <w:r>
        <w:rPr>
          <w:lang w:val="en-US"/>
        </w:rPr>
        <w:t>One of the limitations is that there can be maximum of 8 LCGs. As the maximum number of S-NSSAIs in the Allowed NSSAI list is 8, this limitation will not introduce any issues.</w:t>
      </w:r>
    </w:p>
    <w:p w14:paraId="355E4FE7" w14:textId="0545AAA7" w:rsidR="00C240FB" w:rsidRPr="00C240FB" w:rsidRDefault="00C240FB" w:rsidP="000E24BE">
      <w:pPr>
        <w:rPr>
          <w:b/>
          <w:bCs/>
          <w:lang w:val="en-US"/>
        </w:rPr>
      </w:pPr>
      <w:r w:rsidRPr="00C240FB">
        <w:rPr>
          <w:b/>
          <w:bCs/>
          <w:lang w:val="en-US"/>
        </w:rPr>
        <w:t>Observation 1: The maximum number of LCGs does not introduce any limitations</w:t>
      </w:r>
      <w:r w:rsidR="00347660">
        <w:rPr>
          <w:b/>
          <w:bCs/>
          <w:lang w:val="en-US"/>
        </w:rPr>
        <w:t xml:space="preserve"> in SMBR enforcement</w:t>
      </w:r>
      <w:r w:rsidRPr="00C240FB">
        <w:rPr>
          <w:b/>
          <w:bCs/>
          <w:lang w:val="en-US"/>
        </w:rPr>
        <w:t>.</w:t>
      </w:r>
    </w:p>
    <w:p w14:paraId="2A8FF567" w14:textId="37F9BBC6" w:rsidR="00347660" w:rsidRDefault="00347660" w:rsidP="00347660">
      <w:pPr>
        <w:rPr>
          <w:lang w:val="en-US"/>
        </w:rPr>
      </w:pPr>
      <w:r w:rsidRPr="009D4812">
        <w:rPr>
          <w:lang w:val="en-US"/>
        </w:rPr>
        <w:t>The token bucket algorithm</w:t>
      </w:r>
      <w:r w:rsidR="000C2630">
        <w:rPr>
          <w:lang w:val="en-US"/>
        </w:rPr>
        <w:t xml:space="preserve">, </w:t>
      </w:r>
      <w:r w:rsidRPr="009D4812">
        <w:rPr>
          <w:lang w:val="en-US"/>
        </w:rPr>
        <w:t>which LCP is based</w:t>
      </w:r>
      <w:r w:rsidR="000C2630">
        <w:rPr>
          <w:lang w:val="en-US"/>
        </w:rPr>
        <w:t xml:space="preserve"> on</w:t>
      </w:r>
      <w:r w:rsidRPr="009D4812">
        <w:rPr>
          <w:lang w:val="en-US"/>
        </w:rPr>
        <w:t>, and which was inherited from LTE, guarantees two things</w:t>
      </w:r>
      <w:r>
        <w:rPr>
          <w:lang w:val="en-US"/>
        </w:rPr>
        <w:t>:</w:t>
      </w:r>
    </w:p>
    <w:p w14:paraId="6FC64C94" w14:textId="77777777" w:rsidR="00347660" w:rsidRDefault="00347660" w:rsidP="00192B23">
      <w:pPr>
        <w:pStyle w:val="B1"/>
        <w:rPr>
          <w:lang w:val="en-US"/>
        </w:rPr>
      </w:pPr>
      <w:r w:rsidRPr="009D4812">
        <w:rPr>
          <w:lang w:val="en-US"/>
        </w:rPr>
        <w:t>1.</w:t>
      </w:r>
      <w:r>
        <w:rPr>
          <w:lang w:val="en-US"/>
        </w:rPr>
        <w:tab/>
      </w:r>
      <w:r w:rsidRPr="009D4812">
        <w:rPr>
          <w:lang w:val="en-US"/>
        </w:rPr>
        <w:t>no starvation (PBR guaranteed for every LCH when the grants exceed the sum of all PBRs)</w:t>
      </w:r>
      <w:r>
        <w:rPr>
          <w:lang w:val="en-US"/>
        </w:rPr>
        <w:t xml:space="preserve">, </w:t>
      </w:r>
      <w:r w:rsidRPr="009D4812">
        <w:rPr>
          <w:lang w:val="en-US"/>
        </w:rPr>
        <w:t xml:space="preserve">and </w:t>
      </w:r>
    </w:p>
    <w:p w14:paraId="2574B3A4" w14:textId="77777777" w:rsidR="00347660" w:rsidRDefault="00347660" w:rsidP="00192B23">
      <w:pPr>
        <w:pStyle w:val="B1"/>
        <w:rPr>
          <w:lang w:val="en-US"/>
        </w:rPr>
      </w:pPr>
      <w:r w:rsidRPr="009D4812">
        <w:rPr>
          <w:lang w:val="en-US"/>
        </w:rPr>
        <w:t>2.</w:t>
      </w:r>
      <w:r>
        <w:rPr>
          <w:lang w:val="en-US"/>
        </w:rPr>
        <w:tab/>
      </w:r>
      <w:r w:rsidRPr="009D4812">
        <w:rPr>
          <w:lang w:val="en-US"/>
        </w:rPr>
        <w:t>no waste (high priority LCH just having little data to transmit cannot block low priority LCH having data buffered).</w:t>
      </w:r>
    </w:p>
    <w:p w14:paraId="091C6762" w14:textId="77777777" w:rsidR="00347660" w:rsidRPr="009D4812" w:rsidRDefault="00347660" w:rsidP="00347660">
      <w:pPr>
        <w:rPr>
          <w:lang w:val="en-US"/>
        </w:rPr>
      </w:pPr>
      <w:r w:rsidRPr="009D4812">
        <w:rPr>
          <w:lang w:val="en-US"/>
        </w:rPr>
        <w:t>This is achieved by first serving all LCHs in order of priority up to their PBR and then allocate the remaining capacity to each LCH in order of priority. Having new mechanisms introduced to finely control the data rate of each LCH is of course possible but at the cost of having to face the problems LCP was designed to avoid.</w:t>
      </w:r>
    </w:p>
    <w:p w14:paraId="49C5FFD7" w14:textId="1BF48A81" w:rsidR="00515070" w:rsidRDefault="00515070" w:rsidP="000E24BE">
      <w:pPr>
        <w:rPr>
          <w:lang w:val="en-US"/>
        </w:rPr>
      </w:pPr>
      <w:r>
        <w:rPr>
          <w:lang w:val="en-US"/>
        </w:rPr>
        <w:t>The ways of restricting the use of resource by logical channels can be the following:</w:t>
      </w:r>
    </w:p>
    <w:p w14:paraId="7F99416A" w14:textId="7F6F7FBC" w:rsidR="00E009C7" w:rsidRDefault="00515070" w:rsidP="00E009C7">
      <w:pPr>
        <w:pStyle w:val="B1"/>
        <w:rPr>
          <w:lang w:val="en-US"/>
        </w:rPr>
      </w:pPr>
      <w:r>
        <w:rPr>
          <w:lang w:val="en-US"/>
        </w:rPr>
        <w:t>1)</w:t>
      </w:r>
      <w:r w:rsidR="00E009C7">
        <w:rPr>
          <w:lang w:val="en-US"/>
        </w:rPr>
        <w:tab/>
      </w:r>
      <w:r>
        <w:rPr>
          <w:lang w:val="en-US"/>
        </w:rPr>
        <w:t>Mapping of LCHs to a subset of configured serving cells</w:t>
      </w:r>
    </w:p>
    <w:p w14:paraId="04E883F0" w14:textId="0780DAB6" w:rsidR="00515070" w:rsidRDefault="00E009C7" w:rsidP="00E009C7">
      <w:pPr>
        <w:pStyle w:val="B1"/>
        <w:rPr>
          <w:lang w:val="en-US"/>
        </w:rPr>
      </w:pPr>
      <w:r>
        <w:rPr>
          <w:lang w:val="en-US"/>
        </w:rPr>
        <w:t>2)</w:t>
      </w:r>
      <w:r>
        <w:rPr>
          <w:lang w:val="en-US"/>
        </w:rPr>
        <w:tab/>
        <w:t>Mapping of LCHs to numerologies</w:t>
      </w:r>
      <w:r w:rsidR="00F11486">
        <w:rPr>
          <w:lang w:val="en-US"/>
        </w:rPr>
        <w:t xml:space="preserve"> (in different BWPs)</w:t>
      </w:r>
    </w:p>
    <w:p w14:paraId="34B06785" w14:textId="77777777" w:rsidR="00F11486" w:rsidRDefault="00E009C7" w:rsidP="00E009C7">
      <w:pPr>
        <w:pStyle w:val="B1"/>
        <w:rPr>
          <w:lang w:val="en-US"/>
        </w:rPr>
      </w:pPr>
      <w:r>
        <w:rPr>
          <w:lang w:val="en-US"/>
        </w:rPr>
        <w:t>3)</w:t>
      </w:r>
      <w:r>
        <w:rPr>
          <w:lang w:val="en-US"/>
        </w:rPr>
        <w:tab/>
        <w:t>C</w:t>
      </w:r>
      <w:r w:rsidRPr="004E0C4C">
        <w:rPr>
          <w:lang w:val="en-US"/>
        </w:rPr>
        <w:t>onfigured grant configuration</w:t>
      </w:r>
      <w:r>
        <w:rPr>
          <w:lang w:val="en-US"/>
        </w:rPr>
        <w:t>s</w:t>
      </w:r>
    </w:p>
    <w:p w14:paraId="4F60E789" w14:textId="59D511E8" w:rsidR="00F11486" w:rsidRDefault="00F11486" w:rsidP="00F11486">
      <w:pPr>
        <w:pStyle w:val="B2"/>
        <w:rPr>
          <w:lang w:eastAsia="ko-KR"/>
        </w:rPr>
      </w:pPr>
      <w:r>
        <w:rPr>
          <w:lang w:val="en-US"/>
        </w:rPr>
        <w:t>a)</w:t>
      </w:r>
      <w:r>
        <w:rPr>
          <w:lang w:val="en-US"/>
        </w:rPr>
        <w:tab/>
        <w:t xml:space="preserve">Setting the </w:t>
      </w:r>
      <w:r w:rsidRPr="003C0705">
        <w:rPr>
          <w:lang w:eastAsia="ko-KR"/>
        </w:rPr>
        <w:t>allowed configured grant(s) for transmission</w:t>
      </w:r>
    </w:p>
    <w:p w14:paraId="5E1CC892" w14:textId="110EDC14" w:rsidR="00F11486" w:rsidRDefault="00F11486" w:rsidP="00F11486">
      <w:pPr>
        <w:pStyle w:val="B2"/>
        <w:rPr>
          <w:lang w:val="en-US"/>
        </w:rPr>
      </w:pPr>
      <w:r>
        <w:rPr>
          <w:lang w:eastAsia="ko-KR"/>
        </w:rPr>
        <w:t>b)</w:t>
      </w:r>
      <w:r>
        <w:rPr>
          <w:lang w:eastAsia="ko-KR"/>
        </w:rPr>
        <w:tab/>
        <w:t xml:space="preserve">Setting </w:t>
      </w:r>
      <w:r w:rsidRPr="003C0705">
        <w:rPr>
          <w:lang w:eastAsia="ko-KR"/>
        </w:rPr>
        <w:t>the allowed PHY priority index(es) of a dynamic grant for transmission</w:t>
      </w:r>
    </w:p>
    <w:p w14:paraId="3C528746" w14:textId="3EFF1983" w:rsidR="00515070" w:rsidRDefault="00E009C7" w:rsidP="000E24BE">
      <w:pPr>
        <w:rPr>
          <w:lang w:val="en-US"/>
        </w:rPr>
      </w:pPr>
      <w:r>
        <w:rPr>
          <w:lang w:val="en-US"/>
        </w:rPr>
        <w:t xml:space="preserve">Most of these solutions </w:t>
      </w:r>
      <w:r w:rsidR="00CF0DB6">
        <w:rPr>
          <w:lang w:val="en-US"/>
        </w:rPr>
        <w:t xml:space="preserve">can be used to </w:t>
      </w:r>
      <w:r>
        <w:rPr>
          <w:lang w:val="en-US"/>
        </w:rPr>
        <w:t>differentiate 2 groups in practice, and the applicability of some of the solutions depends on the UE capabilities and deployment. However, as a combination of them can be applied independently (e.g. 2 configured cells with 2 BWPs) there are enough options to cover the maximum number of 8 slices in most of the practical situation</w:t>
      </w:r>
      <w:r w:rsidR="009D4812">
        <w:rPr>
          <w:lang w:val="en-US"/>
        </w:rPr>
        <w:t>s</w:t>
      </w:r>
      <w:r>
        <w:rPr>
          <w:lang w:val="en-US"/>
        </w:rPr>
        <w:t>.</w:t>
      </w:r>
      <w:r w:rsidR="009D4812">
        <w:rPr>
          <w:lang w:val="en-US"/>
        </w:rPr>
        <w:t xml:space="preserve"> </w:t>
      </w:r>
    </w:p>
    <w:p w14:paraId="08402DF1" w14:textId="6E5D9579" w:rsidR="00E009C7" w:rsidRPr="00E009C7" w:rsidRDefault="00E009C7" w:rsidP="000E24BE">
      <w:pPr>
        <w:rPr>
          <w:b/>
          <w:bCs/>
          <w:lang w:val="en-US"/>
        </w:rPr>
      </w:pPr>
      <w:r w:rsidRPr="00E009C7">
        <w:rPr>
          <w:b/>
          <w:bCs/>
          <w:lang w:val="en-US"/>
        </w:rPr>
        <w:lastRenderedPageBreak/>
        <w:t xml:space="preserve">Observation </w:t>
      </w:r>
      <w:r w:rsidR="000C2630">
        <w:rPr>
          <w:b/>
          <w:bCs/>
          <w:lang w:val="en-US"/>
        </w:rPr>
        <w:t>2</w:t>
      </w:r>
      <w:r w:rsidRPr="00E009C7">
        <w:rPr>
          <w:b/>
          <w:bCs/>
          <w:lang w:val="en-US"/>
        </w:rPr>
        <w:t>: A combination of the logical channel assignment to resources can be used, and thus UL SMBR enforcement can be provided.</w:t>
      </w:r>
    </w:p>
    <w:p w14:paraId="1AE22715" w14:textId="77777777" w:rsidR="000C2630" w:rsidRDefault="000C2630" w:rsidP="000E24BE">
      <w:pPr>
        <w:rPr>
          <w:lang w:val="en-US"/>
        </w:rPr>
      </w:pPr>
      <w:r>
        <w:rPr>
          <w:lang w:val="en-US"/>
        </w:rPr>
        <w:t xml:space="preserve">Note that any solutions that restricts the resource usage of LCHs implicitly introduces some limitations in the multiplexing of different LCHs. Therefore, this type of loss of multiplexing efficiency cannot be avoided with SMBR enforcement. </w:t>
      </w:r>
    </w:p>
    <w:p w14:paraId="6B87976D" w14:textId="25C893FD" w:rsidR="00515070" w:rsidRPr="00E009C7" w:rsidRDefault="00E009C7" w:rsidP="000E24BE">
      <w:pPr>
        <w:rPr>
          <w:b/>
          <w:bCs/>
          <w:lang w:val="en-US"/>
        </w:rPr>
      </w:pPr>
      <w:r w:rsidRPr="00E009C7">
        <w:rPr>
          <w:b/>
          <w:bCs/>
          <w:lang w:val="en-US"/>
        </w:rPr>
        <w:t>Proposal: RAN2 assumes that UL SMBR enforcement can be provided based on the current specifications</w:t>
      </w:r>
      <w:r w:rsidR="00F11486">
        <w:rPr>
          <w:b/>
          <w:bCs/>
          <w:lang w:val="en-US"/>
        </w:rPr>
        <w:t xml:space="preserve"> and no further work is needed in Rel-17.</w:t>
      </w:r>
    </w:p>
    <w:p w14:paraId="5FF2457F" w14:textId="134C1DB7" w:rsidR="00A209D6" w:rsidRPr="006E13D1" w:rsidRDefault="00211FAB" w:rsidP="00A209D6">
      <w:pPr>
        <w:pStyle w:val="Heading1"/>
      </w:pPr>
      <w:r>
        <w:t>3</w:t>
      </w:r>
      <w:r w:rsidR="00A209D6" w:rsidRPr="006E13D1">
        <w:tab/>
      </w:r>
      <w:r w:rsidR="008C3057">
        <w:t>Conclusion</w:t>
      </w:r>
    </w:p>
    <w:p w14:paraId="2D216984" w14:textId="77777777" w:rsidR="00211FAB" w:rsidRPr="006E13D1" w:rsidRDefault="00211FAB" w:rsidP="00211FAB">
      <w:r>
        <w:t>This document has made the following observations and proposals:</w:t>
      </w:r>
    </w:p>
    <w:p w14:paraId="7B130424" w14:textId="77777777" w:rsidR="00192B23" w:rsidRPr="00C240FB" w:rsidRDefault="00192B23" w:rsidP="00192B23">
      <w:pPr>
        <w:rPr>
          <w:b/>
          <w:bCs/>
          <w:lang w:val="en-US"/>
        </w:rPr>
      </w:pPr>
      <w:r w:rsidRPr="00C240FB">
        <w:rPr>
          <w:b/>
          <w:bCs/>
          <w:lang w:val="en-US"/>
        </w:rPr>
        <w:t>Observation 1: The maximum number of LCGs does not introduce any limitations</w:t>
      </w:r>
      <w:r>
        <w:rPr>
          <w:b/>
          <w:bCs/>
          <w:lang w:val="en-US"/>
        </w:rPr>
        <w:t xml:space="preserve"> in SMBR enforcement</w:t>
      </w:r>
      <w:r w:rsidRPr="00C240FB">
        <w:rPr>
          <w:b/>
          <w:bCs/>
          <w:lang w:val="en-US"/>
        </w:rPr>
        <w:t>.</w:t>
      </w:r>
    </w:p>
    <w:p w14:paraId="2F0D58B9" w14:textId="77777777" w:rsidR="00192B23" w:rsidRPr="00E009C7" w:rsidRDefault="00192B23" w:rsidP="00192B23">
      <w:pPr>
        <w:rPr>
          <w:b/>
          <w:bCs/>
          <w:lang w:val="en-US"/>
        </w:rPr>
      </w:pPr>
      <w:r w:rsidRPr="00E009C7">
        <w:rPr>
          <w:b/>
          <w:bCs/>
          <w:lang w:val="en-US"/>
        </w:rPr>
        <w:t xml:space="preserve">Observation </w:t>
      </w:r>
      <w:r>
        <w:rPr>
          <w:b/>
          <w:bCs/>
          <w:lang w:val="en-US"/>
        </w:rPr>
        <w:t>2</w:t>
      </w:r>
      <w:r w:rsidRPr="00E009C7">
        <w:rPr>
          <w:b/>
          <w:bCs/>
          <w:lang w:val="en-US"/>
        </w:rPr>
        <w:t>: A combination of the logical channel assignment to resources can be used, and thus UL SMBR enforcement can be provided.</w:t>
      </w:r>
    </w:p>
    <w:p w14:paraId="6ED44246" w14:textId="77777777" w:rsidR="00192B23" w:rsidRPr="00E009C7" w:rsidRDefault="00192B23" w:rsidP="00192B23">
      <w:pPr>
        <w:rPr>
          <w:b/>
          <w:bCs/>
          <w:lang w:val="en-US"/>
        </w:rPr>
      </w:pPr>
      <w:r w:rsidRPr="00E009C7">
        <w:rPr>
          <w:b/>
          <w:bCs/>
          <w:lang w:val="en-US"/>
        </w:rPr>
        <w:t>Proposal: RAN2 assumes that UL SMBR enforcement can be provided based on the current specifications</w:t>
      </w:r>
      <w:r>
        <w:rPr>
          <w:b/>
          <w:bCs/>
          <w:lang w:val="en-US"/>
        </w:rPr>
        <w:t xml:space="preserve"> and no further work is needed in Rel-17.</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FED1A" w14:textId="77777777" w:rsidR="00A3156F" w:rsidRDefault="00A3156F">
      <w:r>
        <w:separator/>
      </w:r>
    </w:p>
  </w:endnote>
  <w:endnote w:type="continuationSeparator" w:id="0">
    <w:p w14:paraId="6B4BAC1C" w14:textId="77777777" w:rsidR="00A3156F" w:rsidRDefault="00A3156F">
      <w:r>
        <w:continuationSeparator/>
      </w:r>
    </w:p>
  </w:endnote>
  <w:endnote w:type="continuationNotice" w:id="1">
    <w:p w14:paraId="6B078ED5" w14:textId="77777777" w:rsidR="00A3156F" w:rsidRDefault="00A31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16A0E" w14:textId="77777777" w:rsidR="00A3156F" w:rsidRDefault="00A3156F">
      <w:r>
        <w:separator/>
      </w:r>
    </w:p>
  </w:footnote>
  <w:footnote w:type="continuationSeparator" w:id="0">
    <w:p w14:paraId="63F71B57" w14:textId="77777777" w:rsidR="00A3156F" w:rsidRDefault="00A3156F">
      <w:r>
        <w:continuationSeparator/>
      </w:r>
    </w:p>
  </w:footnote>
  <w:footnote w:type="continuationNotice" w:id="1">
    <w:p w14:paraId="5C754DB9" w14:textId="77777777" w:rsidR="00A3156F" w:rsidRDefault="00A315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F438D4"/>
    <w:multiLevelType w:val="hybridMultilevel"/>
    <w:tmpl w:val="CB506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4CDB"/>
    <w:rsid w:val="00065268"/>
    <w:rsid w:val="00073C9C"/>
    <w:rsid w:val="00080512"/>
    <w:rsid w:val="00090468"/>
    <w:rsid w:val="00094568"/>
    <w:rsid w:val="000B7BCF"/>
    <w:rsid w:val="000C2630"/>
    <w:rsid w:val="000C522B"/>
    <w:rsid w:val="000D58AB"/>
    <w:rsid w:val="000E24BE"/>
    <w:rsid w:val="000F747E"/>
    <w:rsid w:val="00112F1A"/>
    <w:rsid w:val="00145075"/>
    <w:rsid w:val="001741A0"/>
    <w:rsid w:val="00175FA0"/>
    <w:rsid w:val="00192B23"/>
    <w:rsid w:val="00194CD0"/>
    <w:rsid w:val="001B49C9"/>
    <w:rsid w:val="001C23F4"/>
    <w:rsid w:val="001C4F79"/>
    <w:rsid w:val="001F168B"/>
    <w:rsid w:val="001F7831"/>
    <w:rsid w:val="001F7BC0"/>
    <w:rsid w:val="00204045"/>
    <w:rsid w:val="0020712B"/>
    <w:rsid w:val="00211FAB"/>
    <w:rsid w:val="0022606D"/>
    <w:rsid w:val="00231728"/>
    <w:rsid w:val="00244A05"/>
    <w:rsid w:val="00250404"/>
    <w:rsid w:val="002610D8"/>
    <w:rsid w:val="002747EC"/>
    <w:rsid w:val="002855BF"/>
    <w:rsid w:val="002F0D22"/>
    <w:rsid w:val="00311B17"/>
    <w:rsid w:val="003172DC"/>
    <w:rsid w:val="00325AE3"/>
    <w:rsid w:val="00326069"/>
    <w:rsid w:val="00347660"/>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15070"/>
    <w:rsid w:val="00534DA0"/>
    <w:rsid w:val="00543E6C"/>
    <w:rsid w:val="00565087"/>
    <w:rsid w:val="0056573F"/>
    <w:rsid w:val="00571279"/>
    <w:rsid w:val="005A49C6"/>
    <w:rsid w:val="005F4D1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42D2C"/>
    <w:rsid w:val="008607A8"/>
    <w:rsid w:val="0086354A"/>
    <w:rsid w:val="008768CA"/>
    <w:rsid w:val="00877EF9"/>
    <w:rsid w:val="00880559"/>
    <w:rsid w:val="008B5306"/>
    <w:rsid w:val="008C2E2A"/>
    <w:rsid w:val="008C3057"/>
    <w:rsid w:val="008D1618"/>
    <w:rsid w:val="008D2E4D"/>
    <w:rsid w:val="008F396F"/>
    <w:rsid w:val="008F3DCD"/>
    <w:rsid w:val="0090271F"/>
    <w:rsid w:val="00902DB9"/>
    <w:rsid w:val="0090466A"/>
    <w:rsid w:val="0091118F"/>
    <w:rsid w:val="0091428F"/>
    <w:rsid w:val="00923655"/>
    <w:rsid w:val="00936071"/>
    <w:rsid w:val="009376CD"/>
    <w:rsid w:val="00940212"/>
    <w:rsid w:val="00942EC2"/>
    <w:rsid w:val="00956089"/>
    <w:rsid w:val="00961B32"/>
    <w:rsid w:val="00962509"/>
    <w:rsid w:val="00970DB3"/>
    <w:rsid w:val="00974BB0"/>
    <w:rsid w:val="00975BCD"/>
    <w:rsid w:val="009928A9"/>
    <w:rsid w:val="009A0AF3"/>
    <w:rsid w:val="009A315A"/>
    <w:rsid w:val="009B07CD"/>
    <w:rsid w:val="009C19E9"/>
    <w:rsid w:val="009D4812"/>
    <w:rsid w:val="009D74A6"/>
    <w:rsid w:val="009E0E87"/>
    <w:rsid w:val="00A10F02"/>
    <w:rsid w:val="00A204CA"/>
    <w:rsid w:val="00A209D6"/>
    <w:rsid w:val="00A22738"/>
    <w:rsid w:val="00A3156F"/>
    <w:rsid w:val="00A430EC"/>
    <w:rsid w:val="00A53724"/>
    <w:rsid w:val="00A54B2B"/>
    <w:rsid w:val="00A82346"/>
    <w:rsid w:val="00A9671C"/>
    <w:rsid w:val="00AA1553"/>
    <w:rsid w:val="00AA41FE"/>
    <w:rsid w:val="00AE5EDB"/>
    <w:rsid w:val="00B05380"/>
    <w:rsid w:val="00B05962"/>
    <w:rsid w:val="00B15449"/>
    <w:rsid w:val="00B16C2F"/>
    <w:rsid w:val="00B27303"/>
    <w:rsid w:val="00B47FD1"/>
    <w:rsid w:val="00B516BB"/>
    <w:rsid w:val="00B7538C"/>
    <w:rsid w:val="00B84DB2"/>
    <w:rsid w:val="00BC3555"/>
    <w:rsid w:val="00C12B51"/>
    <w:rsid w:val="00C240FB"/>
    <w:rsid w:val="00C24650"/>
    <w:rsid w:val="00C25465"/>
    <w:rsid w:val="00C33079"/>
    <w:rsid w:val="00C55A12"/>
    <w:rsid w:val="00C6553E"/>
    <w:rsid w:val="00C83A13"/>
    <w:rsid w:val="00C86F10"/>
    <w:rsid w:val="00C9068C"/>
    <w:rsid w:val="00C92967"/>
    <w:rsid w:val="00CA3D0C"/>
    <w:rsid w:val="00CA654B"/>
    <w:rsid w:val="00CA6CFC"/>
    <w:rsid w:val="00CB6795"/>
    <w:rsid w:val="00CB72B8"/>
    <w:rsid w:val="00CD0BA8"/>
    <w:rsid w:val="00CD4C7B"/>
    <w:rsid w:val="00CD58FE"/>
    <w:rsid w:val="00CF0DB6"/>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289C"/>
    <w:rsid w:val="00DC309B"/>
    <w:rsid w:val="00DC4DA2"/>
    <w:rsid w:val="00DC5261"/>
    <w:rsid w:val="00DE25D2"/>
    <w:rsid w:val="00E009C7"/>
    <w:rsid w:val="00E23C88"/>
    <w:rsid w:val="00E46C08"/>
    <w:rsid w:val="00E471CF"/>
    <w:rsid w:val="00E62835"/>
    <w:rsid w:val="00E77645"/>
    <w:rsid w:val="00E83697"/>
    <w:rsid w:val="00E859B6"/>
    <w:rsid w:val="00EA66C9"/>
    <w:rsid w:val="00EC4A25"/>
    <w:rsid w:val="00EF612C"/>
    <w:rsid w:val="00F025A2"/>
    <w:rsid w:val="00F036E9"/>
    <w:rsid w:val="00F07388"/>
    <w:rsid w:val="00F07EBA"/>
    <w:rsid w:val="00F11486"/>
    <w:rsid w:val="00F2026E"/>
    <w:rsid w:val="00F2210A"/>
    <w:rsid w:val="00F31372"/>
    <w:rsid w:val="00F37743"/>
    <w:rsid w:val="00F54A3D"/>
    <w:rsid w:val="00F54CB0"/>
    <w:rsid w:val="00F579CD"/>
    <w:rsid w:val="00F653B8"/>
    <w:rsid w:val="00F7170E"/>
    <w:rsid w:val="00F71B89"/>
    <w:rsid w:val="00F7353C"/>
    <w:rsid w:val="00F76F8F"/>
    <w:rsid w:val="00F7730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Zchn">
    <w:name w:val="B1 Zchn"/>
    <w:link w:val="B1"/>
    <w:rsid w:val="000E24BE"/>
    <w:rPr>
      <w:lang w:eastAsia="en-US"/>
    </w:rPr>
  </w:style>
  <w:style w:type="character" w:styleId="CommentReference">
    <w:name w:val="annotation reference"/>
    <w:uiPriority w:val="99"/>
    <w:qFormat/>
    <w:rsid w:val="00F07EBA"/>
    <w:rPr>
      <w:sz w:val="16"/>
      <w:szCs w:val="16"/>
    </w:rPr>
  </w:style>
  <w:style w:type="paragraph" w:styleId="CommentText">
    <w:name w:val="annotation text"/>
    <w:basedOn w:val="Normal"/>
    <w:link w:val="CommentTextChar"/>
    <w:uiPriority w:val="99"/>
    <w:qFormat/>
    <w:rsid w:val="00F07EBA"/>
    <w:pPr>
      <w:overflowPunct w:val="0"/>
      <w:autoSpaceDE w:val="0"/>
      <w:autoSpaceDN w:val="0"/>
      <w:adjustRightInd w:val="0"/>
      <w:spacing w:after="120"/>
      <w:jc w:val="both"/>
      <w:textAlignment w:val="baseline"/>
    </w:pPr>
    <w:rPr>
      <w:rFonts w:ascii="Arial" w:hAnsi="Arial"/>
      <w:lang w:eastAsia="zh-CN"/>
    </w:rPr>
  </w:style>
  <w:style w:type="character" w:customStyle="1" w:styleId="CommentTextChar">
    <w:name w:val="Comment Text Char"/>
    <w:basedOn w:val="DefaultParagraphFont"/>
    <w:link w:val="CommentText"/>
    <w:uiPriority w:val="99"/>
    <w:qFormat/>
    <w:rsid w:val="00F07EBA"/>
    <w:rPr>
      <w:rFonts w:ascii="Arial" w:hAnsi="Arial"/>
      <w:lang w:eastAsia="zh-CN"/>
    </w:rPr>
  </w:style>
  <w:style w:type="paragraph" w:customStyle="1" w:styleId="Observation">
    <w:name w:val="Observation"/>
    <w:basedOn w:val="Normal"/>
    <w:qFormat/>
    <w:rsid w:val="00F07EBA"/>
    <w:pPr>
      <w:numPr>
        <w:numId w:val="8"/>
      </w:numPr>
      <w:tabs>
        <w:tab w:val="left" w:pos="1701"/>
      </w:tabs>
      <w:overflowPunct w:val="0"/>
      <w:autoSpaceDE w:val="0"/>
      <w:autoSpaceDN w:val="0"/>
      <w:adjustRightInd w:val="0"/>
      <w:spacing w:after="120"/>
      <w:ind w:left="1701" w:hanging="1701"/>
      <w:jc w:val="both"/>
      <w:textAlignment w:val="baseline"/>
    </w:pPr>
    <w:rPr>
      <w:rFonts w:ascii="Arial" w:hAnsi="Arial"/>
      <w:b/>
      <w:bCs/>
      <w:lang w:eastAsia="ja-JP"/>
    </w:rPr>
  </w:style>
  <w:style w:type="character" w:customStyle="1" w:styleId="B1Char1">
    <w:name w:val="B1 Char1"/>
    <w:qFormat/>
    <w:rsid w:val="00F07EBA"/>
    <w:rPr>
      <w:rFonts w:ascii="Times New Roman" w:hAnsi="Times New Roman"/>
      <w:lang w:eastAsia="zh-CN"/>
    </w:rPr>
  </w:style>
  <w:style w:type="paragraph" w:styleId="CommentSubject">
    <w:name w:val="annotation subject"/>
    <w:basedOn w:val="CommentText"/>
    <w:next w:val="CommentText"/>
    <w:link w:val="CommentSubjectChar"/>
    <w:rsid w:val="00F07EBA"/>
    <w:pPr>
      <w:overflowPunct/>
      <w:autoSpaceDE/>
      <w:autoSpaceDN/>
      <w:adjustRightInd/>
      <w:spacing w:after="180"/>
      <w:jc w:val="left"/>
      <w:textAlignment w:val="auto"/>
    </w:pPr>
    <w:rPr>
      <w:rFonts w:ascii="Times New Roman" w:hAnsi="Times New Roman"/>
      <w:b/>
      <w:bCs/>
      <w:lang w:eastAsia="en-US"/>
    </w:rPr>
  </w:style>
  <w:style w:type="character" w:customStyle="1" w:styleId="CommentSubjectChar">
    <w:name w:val="Comment Subject Char"/>
    <w:basedOn w:val="CommentTextChar"/>
    <w:link w:val="CommentSubject"/>
    <w:rsid w:val="00F07EB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4357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5AIRPNAIUNRU-859666464-8897</_dlc_DocId>
    <_dlc_DocIdUrl xmlns="71c5aaf6-e6ce-465b-b873-5148d2a4c105">
      <Url>https://nokia.sharepoint.com/sites/c5g/e2earch/_layouts/15/DocIdRedir.aspx?ID=5AIRPNAIUNRU-859666464-8897</Url>
      <Description>5AIRPNAIUNRU-859666464-8897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71c5aaf6-e6ce-465b-b873-5148d2a4c105"/>
    <ds:schemaRef ds:uri="http://www.w3.org/XML/1998/namespac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Pages>
  <Words>610</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100</cp:revision>
  <dcterms:created xsi:type="dcterms:W3CDTF">2016-08-12T03:53:00Z</dcterms:created>
  <dcterms:modified xsi:type="dcterms:W3CDTF">2021-05-11T05:19:00Z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1a479678-49f8-4ea9-bff5-ec72431d9890</vt:lpwstr>
  </property>
</Properties>
</file>